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010D199B" w:rsidR="00A26949" w:rsidRDefault="00A26949" w:rsidP="00902E9F">
            <w:pPr>
              <w:pStyle w:val="16NzevVZ"/>
            </w:pPr>
            <w:r>
              <w:t>„</w:t>
            </w:r>
            <w:r w:rsidR="00855F75">
              <w:t>Batohy pro výjezdové skupiny ZZS SK – část A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A7F96" w14:paraId="22E4F646" w14:textId="77777777" w:rsidTr="009A7F96">
        <w:tc>
          <w:tcPr>
            <w:tcW w:w="8462" w:type="dxa"/>
            <w:gridSpan w:val="2"/>
          </w:tcPr>
          <w:p w14:paraId="049D557B" w14:textId="4B120900" w:rsidR="009A7F96" w:rsidRPr="009A7F96" w:rsidRDefault="00E764F4" w:rsidP="009A7F96">
            <w:pPr>
              <w:pStyle w:val="19Tabulkastedtun"/>
            </w:pPr>
            <w:r>
              <w:t>Batoh pro výjezdovou skupinu RZP</w:t>
            </w:r>
          </w:p>
        </w:tc>
      </w:tr>
      <w:tr w:rsidR="00193E9F" w14:paraId="3EA37087" w14:textId="77777777" w:rsidTr="00711766">
        <w:tc>
          <w:tcPr>
            <w:tcW w:w="6922" w:type="dxa"/>
          </w:tcPr>
          <w:p w14:paraId="44C8A3CF" w14:textId="1CB8BDA4" w:rsidR="00193E9F" w:rsidRDefault="00855F75" w:rsidP="009A7F96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604127DF" w14:textId="177F3182" w:rsidR="00193E9F" w:rsidRDefault="009A7F96" w:rsidP="00711766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03237C88" w14:textId="21B7E5F4" w:rsidR="00855F75" w:rsidRPr="00AC3D8D" w:rsidRDefault="00855F75" w:rsidP="00855F75">
      <w:pPr>
        <w:pStyle w:val="06Odstavecneslovan"/>
        <w:spacing w:before="120"/>
        <w:rPr>
          <w:b/>
          <w:bCs/>
          <w:u w:val="single"/>
        </w:rPr>
      </w:pPr>
      <w:r w:rsidRPr="00AC3D8D">
        <w:rPr>
          <w:b/>
          <w:bCs/>
          <w:u w:val="single"/>
        </w:rPr>
        <w:t>Předmět plnění musí splňovat následující požadavky:</w:t>
      </w:r>
    </w:p>
    <w:p w14:paraId="32DD6FA7" w14:textId="77777777" w:rsidR="00F777C5" w:rsidRDefault="00F777C5" w:rsidP="00F777C5">
      <w:pPr>
        <w:pStyle w:val="06Odstavecneslovan"/>
      </w:pPr>
      <w:r w:rsidRPr="001D173E">
        <w:rPr>
          <w:i/>
          <w:iCs/>
        </w:rPr>
        <w:t>Rozměry ve švech:</w:t>
      </w:r>
      <w:r w:rsidRPr="00FF5513">
        <w:t xml:space="preserve"> 350x500x230 mm (š x v x h), tolerance ± 5</w:t>
      </w:r>
      <w:r>
        <w:t xml:space="preserve"> </w:t>
      </w:r>
      <w:r w:rsidRPr="00FF5513">
        <w:t>%</w:t>
      </w:r>
      <w:r>
        <w:t>.</w:t>
      </w:r>
    </w:p>
    <w:p w14:paraId="53003340" w14:textId="77777777" w:rsidR="00F777C5" w:rsidRDefault="00F777C5" w:rsidP="00F777C5">
      <w:pPr>
        <w:pStyle w:val="06Odstavecneslovan"/>
      </w:pPr>
      <w:r w:rsidRPr="001D173E">
        <w:rPr>
          <w:i/>
          <w:iCs/>
        </w:rPr>
        <w:t>Hmotnost se základním příslušenstvím:</w:t>
      </w:r>
      <w:r w:rsidRPr="00FF5513">
        <w:t xml:space="preserve"> 4 kg, tolerance ± 5</w:t>
      </w:r>
      <w:r>
        <w:t xml:space="preserve"> </w:t>
      </w:r>
      <w:r w:rsidRPr="00FF5513">
        <w:t>%</w:t>
      </w:r>
      <w:r>
        <w:t>.</w:t>
      </w:r>
    </w:p>
    <w:p w14:paraId="500466CB" w14:textId="77777777" w:rsidR="00AC3D8D" w:rsidRDefault="00AC3D8D" w:rsidP="00F777C5">
      <w:pPr>
        <w:pStyle w:val="06Odstavecneslovan"/>
      </w:pPr>
    </w:p>
    <w:p w14:paraId="27673E07" w14:textId="77777777" w:rsidR="00F777C5" w:rsidRPr="00AC3D8D" w:rsidRDefault="00F777C5" w:rsidP="00F777C5">
      <w:pPr>
        <w:pStyle w:val="06Odstavecneslovan"/>
        <w:rPr>
          <w:u w:val="single"/>
        </w:rPr>
      </w:pPr>
      <w:r w:rsidRPr="00AC3D8D">
        <w:rPr>
          <w:u w:val="single"/>
        </w:rPr>
        <w:t>Příslušenství:</w:t>
      </w:r>
    </w:p>
    <w:p w14:paraId="3EC34891" w14:textId="77777777" w:rsidR="00F777C5" w:rsidRPr="00AC3D8D" w:rsidRDefault="00F777C5" w:rsidP="00F777C5">
      <w:pPr>
        <w:pStyle w:val="06Odstavecneslovan"/>
        <w:rPr>
          <w:i/>
          <w:iCs/>
        </w:rPr>
      </w:pPr>
      <w:r w:rsidRPr="00AC3D8D">
        <w:rPr>
          <w:i/>
          <w:iCs/>
        </w:rPr>
        <w:t>základní</w:t>
      </w:r>
    </w:p>
    <w:p w14:paraId="64C3BB17" w14:textId="77777777" w:rsidR="00F777C5" w:rsidRPr="00FF5513" w:rsidRDefault="00F777C5" w:rsidP="00F777C5">
      <w:pPr>
        <w:pStyle w:val="06Odstavecneslovan"/>
      </w:pPr>
      <w:r w:rsidRPr="00FF5513">
        <w:t>Vnitřní přepážka horizontální, odnímatelná (115x450mm) – 2 ks (dále jen přepážka č. 1a)</w:t>
      </w:r>
      <w:r>
        <w:t>.</w:t>
      </w:r>
    </w:p>
    <w:p w14:paraId="43ED4815" w14:textId="77777777" w:rsidR="00F777C5" w:rsidRPr="00FF5513" w:rsidRDefault="00F777C5" w:rsidP="00F777C5">
      <w:pPr>
        <w:pStyle w:val="06Odstavecneslovan"/>
      </w:pPr>
      <w:r w:rsidRPr="00FF5513">
        <w:t xml:space="preserve">Vnitřní přepážka horizontální, odnímatelná (115x450mm) – </w:t>
      </w:r>
      <w:r>
        <w:t>1</w:t>
      </w:r>
      <w:r w:rsidRPr="00FF5513">
        <w:t xml:space="preserve"> ks (dále jen přepážka č. 1</w:t>
      </w:r>
      <w:r>
        <w:t>b</w:t>
      </w:r>
      <w:r w:rsidRPr="00FF5513">
        <w:t>)</w:t>
      </w:r>
      <w:r>
        <w:t>.</w:t>
      </w:r>
    </w:p>
    <w:p w14:paraId="00F32899" w14:textId="77777777" w:rsidR="00F777C5" w:rsidRPr="00FF5513" w:rsidRDefault="00F777C5" w:rsidP="00F777C5">
      <w:pPr>
        <w:pStyle w:val="06Odstavecneslovan"/>
      </w:pPr>
      <w:r w:rsidRPr="00FF5513">
        <w:t xml:space="preserve">Vnitřní přepážka </w:t>
      </w:r>
      <w:r>
        <w:t>vertik</w:t>
      </w:r>
      <w:r w:rsidRPr="00FF5513">
        <w:t>ální, odnímatelná (11</w:t>
      </w:r>
      <w:r>
        <w:t>0</w:t>
      </w:r>
      <w:r w:rsidRPr="00FF5513">
        <w:t>x</w:t>
      </w:r>
      <w:r>
        <w:t>210</w:t>
      </w:r>
      <w:r w:rsidRPr="00FF5513">
        <w:t xml:space="preserve">mm) – 2 ks (dále jen přepážka č. </w:t>
      </w:r>
      <w:r>
        <w:t>2</w:t>
      </w:r>
      <w:r w:rsidRPr="00FF5513">
        <w:t>)</w:t>
      </w:r>
      <w:r>
        <w:t>.</w:t>
      </w:r>
    </w:p>
    <w:p w14:paraId="0B691654" w14:textId="77777777" w:rsidR="00F777C5" w:rsidRPr="00AC3D8D" w:rsidRDefault="00F777C5" w:rsidP="00F777C5">
      <w:pPr>
        <w:pStyle w:val="06Odstavecneslovan"/>
        <w:rPr>
          <w:i/>
          <w:iCs/>
        </w:rPr>
      </w:pPr>
      <w:r w:rsidRPr="00AC3D8D">
        <w:rPr>
          <w:i/>
          <w:iCs/>
        </w:rPr>
        <w:t>doplňkové</w:t>
      </w:r>
    </w:p>
    <w:p w14:paraId="598A5674" w14:textId="77777777" w:rsidR="00F777C5" w:rsidRPr="00FF5513" w:rsidRDefault="00F777C5" w:rsidP="00F777C5">
      <w:pPr>
        <w:pStyle w:val="06Odstavecneslovan"/>
      </w:pPr>
      <w:r w:rsidRPr="00FF5513">
        <w:t>Vnitřní p</w:t>
      </w:r>
      <w:r>
        <w:t>ouzdro 2zipové</w:t>
      </w:r>
      <w:r w:rsidRPr="00FF5513">
        <w:t xml:space="preserve"> (1</w:t>
      </w:r>
      <w:r>
        <w:t>20</w:t>
      </w:r>
      <w:r w:rsidRPr="00FF5513">
        <w:t>x</w:t>
      </w:r>
      <w:r>
        <w:t>30</w:t>
      </w:r>
      <w:r w:rsidRPr="00FF5513">
        <w:t>0</w:t>
      </w:r>
      <w:r>
        <w:t>x50</w:t>
      </w:r>
      <w:r w:rsidRPr="00FF5513">
        <w:t>mm</w:t>
      </w:r>
      <w:r>
        <w:t>, barva červená</w:t>
      </w:r>
      <w:r w:rsidRPr="00FF5513">
        <w:t xml:space="preserve">) – </w:t>
      </w:r>
      <w:r>
        <w:t>1</w:t>
      </w:r>
      <w:r w:rsidRPr="00FF5513">
        <w:t xml:space="preserve"> ks (dále jen p</w:t>
      </w:r>
      <w:r>
        <w:t>ouzdro</w:t>
      </w:r>
      <w:r w:rsidRPr="00FF5513">
        <w:t xml:space="preserve"> č. 1)</w:t>
      </w:r>
      <w:r>
        <w:t>.</w:t>
      </w:r>
    </w:p>
    <w:p w14:paraId="2B237F7D" w14:textId="77777777" w:rsidR="00F777C5" w:rsidRDefault="00F777C5" w:rsidP="00F777C5">
      <w:pPr>
        <w:pStyle w:val="06Odstavecneslovan"/>
      </w:pPr>
      <w:r w:rsidRPr="00FF5513">
        <w:t>Vnitřní p</w:t>
      </w:r>
      <w:r>
        <w:t>ouzdro 2zipové</w:t>
      </w:r>
      <w:r w:rsidRPr="00FF5513">
        <w:t xml:space="preserve"> (1</w:t>
      </w:r>
      <w:r>
        <w:t>50</w:t>
      </w:r>
      <w:r w:rsidRPr="00FF5513">
        <w:t>x</w:t>
      </w:r>
      <w:r>
        <w:t>18</w:t>
      </w:r>
      <w:r w:rsidRPr="00FF5513">
        <w:t>0</w:t>
      </w:r>
      <w:r>
        <w:t>x80</w:t>
      </w:r>
      <w:r w:rsidRPr="00FF5513">
        <w:t>mm</w:t>
      </w:r>
      <w:r>
        <w:t>, barva modrá</w:t>
      </w:r>
      <w:r w:rsidRPr="00FF5513">
        <w:t xml:space="preserve">) – </w:t>
      </w:r>
      <w:r>
        <w:t>1</w:t>
      </w:r>
      <w:r w:rsidRPr="00FF5513">
        <w:t xml:space="preserve"> ks (dále jen p</w:t>
      </w:r>
      <w:r>
        <w:t>ouzdro</w:t>
      </w:r>
      <w:r w:rsidRPr="00FF5513">
        <w:t xml:space="preserve"> č. </w:t>
      </w:r>
      <w:r>
        <w:t>2</w:t>
      </w:r>
      <w:r w:rsidRPr="00FF5513">
        <w:t>)</w:t>
      </w:r>
      <w:r>
        <w:t>.</w:t>
      </w:r>
    </w:p>
    <w:p w14:paraId="0BDEAA64" w14:textId="77777777" w:rsidR="00F777C5" w:rsidRPr="00FF5513" w:rsidRDefault="00F777C5" w:rsidP="00F777C5">
      <w:pPr>
        <w:pStyle w:val="06Odstavecneslovan"/>
      </w:pPr>
    </w:p>
    <w:p w14:paraId="783B78D8" w14:textId="77777777" w:rsidR="00F777C5" w:rsidRDefault="00F777C5" w:rsidP="00F777C5">
      <w:pPr>
        <w:pStyle w:val="06Odstavecneslovan"/>
      </w:pPr>
      <w:r w:rsidRPr="00056232">
        <w:rPr>
          <w:i/>
          <w:iCs/>
        </w:rPr>
        <w:lastRenderedPageBreak/>
        <w:t>Barva pláště:</w:t>
      </w:r>
      <w:r w:rsidRPr="00FF5513">
        <w:t xml:space="preserve"> červeno-černé provedení (víko červené, záda a boky černé) se žlutými reflexními pásky na víku, bocích a ramenních popruzích</w:t>
      </w:r>
      <w:r>
        <w:t>.</w:t>
      </w:r>
    </w:p>
    <w:p w14:paraId="0C12DF58" w14:textId="77777777" w:rsidR="00F777C5" w:rsidRDefault="00F777C5" w:rsidP="00F777C5">
      <w:pPr>
        <w:pStyle w:val="06Odstavecneslovan"/>
      </w:pPr>
      <w:r w:rsidRPr="00056232">
        <w:rPr>
          <w:i/>
          <w:iCs/>
        </w:rPr>
        <w:t>Materiálové složení pláště:</w:t>
      </w:r>
      <w:r w:rsidRPr="00FF5513">
        <w:t xml:space="preserve"> vícevrstvý sendvič, vnější vrstva je z PES tkaniny s oboustranným nánosem PVC. Vnitřní vrstvy pláště zajišťují jeho vyztužení a změkčení v zádové části.</w:t>
      </w:r>
    </w:p>
    <w:p w14:paraId="4B0ED7AF" w14:textId="77777777" w:rsidR="00F777C5" w:rsidRPr="009F4BC7" w:rsidRDefault="00F777C5" w:rsidP="00F777C5">
      <w:pPr>
        <w:pStyle w:val="06Odstavecneslovan"/>
      </w:pPr>
    </w:p>
    <w:p w14:paraId="13752E91" w14:textId="77777777" w:rsidR="00F777C5" w:rsidRPr="009F4BC7" w:rsidRDefault="00F777C5" w:rsidP="00F777C5">
      <w:pPr>
        <w:pStyle w:val="06Odstavecneslovan"/>
      </w:pPr>
      <w:r w:rsidRPr="00FF5513">
        <w:t>Hlavní úložný prostor batohu je uzavíratelný ze tří stran pomocí silného spirálového zipu, který umožňuje otevření vnitřního prostoru batohu jako knihu. Zip je po celé délce překrytý ochrannou manžetou z pruženky. Další dva zipy jsou umístěny na zevní ploše víka batohu a uzavírají přístup do horní a dolní kapsy.</w:t>
      </w:r>
    </w:p>
    <w:p w14:paraId="118829ED" w14:textId="77777777" w:rsidR="00F777C5" w:rsidRPr="009F4BC7" w:rsidRDefault="00F777C5" w:rsidP="00F777C5">
      <w:pPr>
        <w:pStyle w:val="06Odstavecneslovan"/>
      </w:pPr>
    </w:p>
    <w:p w14:paraId="2FBD13E2" w14:textId="77777777" w:rsidR="00F777C5" w:rsidRPr="00056232" w:rsidRDefault="00F777C5" w:rsidP="00F777C5">
      <w:pPr>
        <w:pStyle w:val="06Odstavecneslovan"/>
        <w:rPr>
          <w:u w:val="single"/>
        </w:rPr>
      </w:pPr>
      <w:r w:rsidRPr="00056232">
        <w:rPr>
          <w:u w:val="single"/>
        </w:rPr>
        <w:t>Batoh je opatřen:</w:t>
      </w:r>
    </w:p>
    <w:p w14:paraId="03B09414" w14:textId="77777777" w:rsidR="00F777C5" w:rsidRPr="003E0F45" w:rsidRDefault="00F777C5" w:rsidP="002545CF">
      <w:pPr>
        <w:pStyle w:val="07Psmeno"/>
      </w:pPr>
      <w:r>
        <w:t>2 polstrovanými ramenními popruhy. Délku popruhů lze zkracovat na obou koncích. Na</w:t>
      </w:r>
      <w:r w:rsidRPr="003E0F45">
        <w:t xml:space="preserve"> zevní ploše jsou popruhy opatřeny reflexním páskem žluté barvy š. 20 mm;</w:t>
      </w:r>
    </w:p>
    <w:p w14:paraId="282D87FA" w14:textId="77777777" w:rsidR="00F777C5" w:rsidRPr="00C338EB" w:rsidRDefault="00F777C5" w:rsidP="002545CF">
      <w:pPr>
        <w:pStyle w:val="07Psmeno"/>
      </w:pPr>
      <w:r>
        <w:t>2 ergonomicky tvarovanými plastovými držadly umístěnými na zevní ploše horní a boční</w:t>
      </w:r>
      <w:r w:rsidRPr="00C338EB">
        <w:t xml:space="preserve"> stěny;</w:t>
      </w:r>
    </w:p>
    <w:p w14:paraId="75C64AF3" w14:textId="77777777" w:rsidR="00F777C5" w:rsidRDefault="00F777C5" w:rsidP="002545CF">
      <w:pPr>
        <w:pStyle w:val="07Psmeno"/>
      </w:pPr>
      <w:r>
        <w:t>Logem ZZS SK na zevní ploše horní kapsy víka batohu;</w:t>
      </w:r>
    </w:p>
    <w:p w14:paraId="533630E8" w14:textId="77777777" w:rsidR="00F777C5" w:rsidRDefault="00F777C5" w:rsidP="002545CF">
      <w:pPr>
        <w:pStyle w:val="07Psmeno"/>
      </w:pPr>
      <w:r>
        <w:t>3 plastovými ochrannými a opěrnými lištami umístěnými na zevní ploše dna batohu.</w:t>
      </w:r>
    </w:p>
    <w:p w14:paraId="60FF0C05" w14:textId="77777777" w:rsidR="00F777C5" w:rsidRDefault="00F777C5" w:rsidP="00F777C5">
      <w:pPr>
        <w:pStyle w:val="06Odstavecneslovan"/>
      </w:pPr>
    </w:p>
    <w:p w14:paraId="337D108E" w14:textId="77777777" w:rsidR="00F777C5" w:rsidRDefault="00F777C5" w:rsidP="00F777C5">
      <w:pPr>
        <w:pStyle w:val="06Odstavecneslovan"/>
      </w:pPr>
      <w:r>
        <w:t>Vnitřní prostor rozevřeného batohu tvoří „zádová komora“ (levá část) a víko (pravá část).</w:t>
      </w:r>
    </w:p>
    <w:p w14:paraId="5FF0F146" w14:textId="77777777" w:rsidR="00F777C5" w:rsidRPr="009F4BC7" w:rsidRDefault="00F777C5" w:rsidP="00F777C5">
      <w:pPr>
        <w:pStyle w:val="06Odstavecneslovan"/>
      </w:pPr>
    </w:p>
    <w:p w14:paraId="3964F487" w14:textId="77777777" w:rsidR="00F777C5" w:rsidRPr="003E0F45" w:rsidRDefault="00F777C5" w:rsidP="00F777C5">
      <w:pPr>
        <w:pStyle w:val="06Odstavecneslovan"/>
      </w:pPr>
      <w:r>
        <w:t xml:space="preserve">Zádová komora je opatřena nastavitelným upevňovacím systémem. Tvoří ho 2 ks přepážky č. 1a, 1 </w:t>
      </w:r>
      <w:r w:rsidRPr="003E0F45">
        <w:t xml:space="preserve">ks přepážky č. 1b a 2 ks přepážky č.2 (viz výše). Po celém obvodu zádové komory jsou našity 2 </w:t>
      </w:r>
      <w:proofErr w:type="spellStart"/>
      <w:r w:rsidRPr="003E0F45">
        <w:t>velcro</w:t>
      </w:r>
      <w:proofErr w:type="spellEnd"/>
      <w:r w:rsidRPr="003E0F45">
        <w:t xml:space="preserve"> pásy uzávěru samet š. 50 mm pro připevnění tohoto upevňovacího systému.</w:t>
      </w:r>
    </w:p>
    <w:p w14:paraId="7105C0AC" w14:textId="77777777" w:rsidR="00F777C5" w:rsidRDefault="00F777C5" w:rsidP="00F777C5">
      <w:pPr>
        <w:pStyle w:val="06Odstavecneslovan"/>
      </w:pPr>
    </w:p>
    <w:p w14:paraId="04BD7A54" w14:textId="77777777" w:rsidR="00F777C5" w:rsidRDefault="00F777C5" w:rsidP="00F777C5">
      <w:pPr>
        <w:pStyle w:val="06Odstavecneslovan"/>
      </w:pPr>
      <w:r>
        <w:t>Na víku batohu jsou dvě kapsy. Obě jsou řešeny jako vnořené do vnitřního prostoru batohu.</w:t>
      </w:r>
    </w:p>
    <w:p w14:paraId="740A9518" w14:textId="77777777" w:rsidR="00F777C5" w:rsidRDefault="00F777C5" w:rsidP="00F777C5">
      <w:pPr>
        <w:pStyle w:val="06Odstavecneslovan"/>
      </w:pPr>
    </w:p>
    <w:p w14:paraId="5506BCD8" w14:textId="77777777" w:rsidR="00F777C5" w:rsidRDefault="00F777C5" w:rsidP="00F777C5">
      <w:pPr>
        <w:pStyle w:val="06Odstavecneslovan"/>
      </w:pPr>
      <w:r>
        <w:t xml:space="preserve">Horní kapsa má rozměr 265x215x85 mm. Přístup do kapsy je z vnější i z vnitřní strany pomocí dvou zipů. Oba zipy jsou našity ve tvaru obráceného písmene U a umožňují vyklopení víka i dna kapsy směrem dolů. Na vnitřní ploše víka kapsy je vyjmutelné plato (260x220mm) s našitými 2 vodorovnými řadami úchytů z pruženky š. 25 mm (horní a dolní) a středovou řadou z pruženky š. 40 mm. Horní a dolní řada má 6 </w:t>
      </w:r>
      <w:proofErr w:type="spellStart"/>
      <w:r>
        <w:t>pruženkových</w:t>
      </w:r>
      <w:proofErr w:type="spellEnd"/>
      <w:r>
        <w:t xml:space="preserve"> ok a střední řada má 3 oka. Na dně vnitřního prostoru kapsy jsou našity 2 vodorovné řady </w:t>
      </w:r>
      <w:proofErr w:type="spellStart"/>
      <w:r>
        <w:t>velcro</w:t>
      </w:r>
      <w:proofErr w:type="spellEnd"/>
      <w:r>
        <w:t xml:space="preserve"> uzávěru háček š. 38 mm.</w:t>
      </w:r>
    </w:p>
    <w:p w14:paraId="7E877F82" w14:textId="77777777" w:rsidR="00F777C5" w:rsidRPr="009F4BC7" w:rsidRDefault="00F777C5" w:rsidP="00F777C5">
      <w:pPr>
        <w:pStyle w:val="06Odstavecneslovan"/>
      </w:pPr>
    </w:p>
    <w:p w14:paraId="2F33A4A6" w14:textId="77777777" w:rsidR="00F777C5" w:rsidRDefault="00F777C5" w:rsidP="00F777C5">
      <w:pPr>
        <w:pStyle w:val="06Odstavecneslovan"/>
      </w:pPr>
      <w:r>
        <w:t xml:space="preserve">Dolní kapsa má rozměr 265x215x85 mm. Přístup do kapsy je z vnější i z vnitřní strany pomocí dvou zipů. Oba zipy jsou našity ve tvaru obráceného písmene U a umožňují vyklopení víka i dna kapsy směrem dolů. Na vnitřní ploše víka kapsy je vyjmutelné plato (260x220mm) s našitou </w:t>
      </w:r>
      <w:proofErr w:type="gramStart"/>
      <w:r>
        <w:t>1 řadou</w:t>
      </w:r>
      <w:proofErr w:type="gramEnd"/>
      <w:r>
        <w:t xml:space="preserve"> úchytů s 6 oky z pruženky š.25 mm. Na dně vnitřního prostoru kapsy jsou našity 2 vodorovné řady </w:t>
      </w:r>
      <w:proofErr w:type="spellStart"/>
      <w:r>
        <w:t>velcro</w:t>
      </w:r>
      <w:proofErr w:type="spellEnd"/>
      <w:r>
        <w:t xml:space="preserve"> uzávěru háček š. 38 mm. </w:t>
      </w:r>
    </w:p>
    <w:p w14:paraId="6B40490C" w14:textId="77777777" w:rsidR="00F777C5" w:rsidRPr="009F4BC7" w:rsidRDefault="00F777C5" w:rsidP="00F777C5">
      <w:pPr>
        <w:pStyle w:val="06Odstavecneslovan"/>
      </w:pPr>
    </w:p>
    <w:p w14:paraId="1C3F3BE9" w14:textId="3FF69758" w:rsidR="00F777C5" w:rsidRPr="005427D8" w:rsidRDefault="005427D8" w:rsidP="00F777C5">
      <w:pPr>
        <w:pStyle w:val="06Odstavecneslovan"/>
        <w:rPr>
          <w:u w:val="single"/>
        </w:rPr>
      </w:pPr>
      <w:r>
        <w:rPr>
          <w:u w:val="single"/>
        </w:rPr>
        <w:t>Bližší popis p</w:t>
      </w:r>
      <w:r w:rsidR="00F777C5" w:rsidRPr="005427D8">
        <w:rPr>
          <w:u w:val="single"/>
        </w:rPr>
        <w:t>říslušenství:</w:t>
      </w:r>
    </w:p>
    <w:p w14:paraId="40EA1882" w14:textId="77777777" w:rsidR="00F777C5" w:rsidRDefault="00F777C5" w:rsidP="00F777C5">
      <w:pPr>
        <w:pStyle w:val="06Odstavecneslovan"/>
      </w:pPr>
      <w:r>
        <w:t xml:space="preserve">Přepážka č.1a – v plášti z omyvatelné tkaniny je zašitá tuhá plastová vložka (110x340 mm). Oba podélné okraje této přepážky jsou z jedné strany opatřeny </w:t>
      </w:r>
      <w:proofErr w:type="spellStart"/>
      <w:r>
        <w:t>velcro</w:t>
      </w:r>
      <w:proofErr w:type="spellEnd"/>
      <w:r>
        <w:t xml:space="preserve"> uzávěrem háček č.50 mm, které slouží k připevnění této přepážky k pásům </w:t>
      </w:r>
      <w:proofErr w:type="spellStart"/>
      <w:r>
        <w:t>velcro</w:t>
      </w:r>
      <w:proofErr w:type="spellEnd"/>
      <w:r>
        <w:t xml:space="preserve"> uzávěru samet na bočních stěnách komory. Tuhá plastová vložka je mezi těmito okrajovými </w:t>
      </w:r>
      <w:proofErr w:type="spellStart"/>
      <w:r>
        <w:t>velcro</w:t>
      </w:r>
      <w:proofErr w:type="spellEnd"/>
      <w:r>
        <w:t xml:space="preserve"> uzávěry háček.</w:t>
      </w:r>
    </w:p>
    <w:p w14:paraId="6FBB1C46" w14:textId="77777777" w:rsidR="00F777C5" w:rsidRDefault="00F777C5" w:rsidP="00F777C5">
      <w:pPr>
        <w:pStyle w:val="06Odstavecneslovan"/>
      </w:pPr>
      <w:r>
        <w:lastRenderedPageBreak/>
        <w:t xml:space="preserve">Přepážka č.1b – má oproti přepážce </w:t>
      </w:r>
      <w:proofErr w:type="gramStart"/>
      <w:r>
        <w:t>1a</w:t>
      </w:r>
      <w:proofErr w:type="gramEnd"/>
      <w:r>
        <w:t xml:space="preserve"> jednu odlišnost, mezi okrajovými </w:t>
      </w:r>
      <w:proofErr w:type="spellStart"/>
      <w:r>
        <w:t>velcro</w:t>
      </w:r>
      <w:proofErr w:type="spellEnd"/>
      <w:r>
        <w:t xml:space="preserve"> uzávěry háček (50x110 mm) je našitý pás </w:t>
      </w:r>
      <w:proofErr w:type="spellStart"/>
      <w:r>
        <w:t>velcro</w:t>
      </w:r>
      <w:proofErr w:type="spellEnd"/>
      <w:r>
        <w:t xml:space="preserve"> uzávěru samet.</w:t>
      </w:r>
    </w:p>
    <w:p w14:paraId="78389C97" w14:textId="77777777" w:rsidR="00F777C5" w:rsidRDefault="00F777C5" w:rsidP="00F777C5">
      <w:pPr>
        <w:pStyle w:val="06Odstavecneslovan"/>
      </w:pPr>
      <w:r>
        <w:t xml:space="preserve">Přepážka č.2 – má obdobnou konstrukci jako přepážky </w:t>
      </w:r>
      <w:proofErr w:type="gramStart"/>
      <w:r>
        <w:t>1a</w:t>
      </w:r>
      <w:proofErr w:type="gramEnd"/>
      <w:r>
        <w:t xml:space="preserve"> a </w:t>
      </w:r>
      <w:proofErr w:type="gramStart"/>
      <w:r>
        <w:t>1b</w:t>
      </w:r>
      <w:proofErr w:type="gramEnd"/>
      <w:r>
        <w:t xml:space="preserve">. Její vnitřní vložka je z měkčího plastu. Tato přepážka slouží k vytvoření vertikální komorové přepážky. </w:t>
      </w:r>
    </w:p>
    <w:p w14:paraId="2EDC541A" w14:textId="77777777" w:rsidR="00F777C5" w:rsidRDefault="00F777C5" w:rsidP="00F777C5">
      <w:pPr>
        <w:pStyle w:val="06Odstavecneslovan"/>
      </w:pPr>
      <w:r>
        <w:t xml:space="preserve">Pouzdro č.1 (barva červená) – plášť pouzdra je jednovrstvý z PES tkaniny se zátěrem. Do víka pouzdra jsou všity 2 samostatné spirálové zipy. Jezdci obou zipů jsou spojeni společným držadlem. Chlopeň volného konce víka je opatřena </w:t>
      </w:r>
      <w:proofErr w:type="spellStart"/>
      <w:r>
        <w:t>velcro</w:t>
      </w:r>
      <w:proofErr w:type="spellEnd"/>
      <w:r>
        <w:t xml:space="preserve"> uzávěrem a </w:t>
      </w:r>
      <w:proofErr w:type="spellStart"/>
      <w:r>
        <w:t>taháčkem</w:t>
      </w:r>
      <w:proofErr w:type="spellEnd"/>
      <w:r>
        <w:t>.</w:t>
      </w:r>
    </w:p>
    <w:p w14:paraId="55933E0A" w14:textId="77777777" w:rsidR="00F777C5" w:rsidRDefault="00F777C5" w:rsidP="00F777C5">
      <w:pPr>
        <w:pStyle w:val="06Odstavecneslovan"/>
      </w:pPr>
      <w:r>
        <w:t>Pouzdro č. 2 (barva modrá) – má shodnou konstrukci jako pouzdro č. 1, liší se jen rozměry (viz výše).</w:t>
      </w:r>
    </w:p>
    <w:p w14:paraId="0CBFE23F" w14:textId="77777777" w:rsidR="00F777C5" w:rsidRDefault="00F777C5" w:rsidP="00F777C5">
      <w:pPr>
        <w:pStyle w:val="06Odstavecneslovan"/>
      </w:pPr>
    </w:p>
    <w:p w14:paraId="385751D8" w14:textId="77777777" w:rsidR="00F777C5" w:rsidRDefault="00F777C5" w:rsidP="00F777C5">
      <w:pPr>
        <w:pStyle w:val="06Odstavecneslovan"/>
      </w:pPr>
      <w:r>
        <w:t>Teplotní rozmezí pro užívání batohu bez náplně je stanoveno od -20 °C do +45 °C.</w:t>
      </w:r>
    </w:p>
    <w:p w14:paraId="5345B877" w14:textId="77777777" w:rsidR="00F777C5" w:rsidRDefault="00F777C5" w:rsidP="00F777C5">
      <w:pPr>
        <w:pStyle w:val="06Odstavecneslovan"/>
      </w:pPr>
      <w:r>
        <w:t>Batoh včetně příslušenství není konstruovaný pro údržbu praním.</w:t>
      </w:r>
    </w:p>
    <w:p w14:paraId="34C29023" w14:textId="72DC1617" w:rsidR="00F777C5" w:rsidRDefault="00F777C5" w:rsidP="00F777C5">
      <w:pPr>
        <w:pStyle w:val="06Odstavecneslovan"/>
      </w:pPr>
    </w:p>
    <w:p w14:paraId="67924E8B" w14:textId="19A419B9" w:rsidR="00DE6372" w:rsidRPr="00DE6372" w:rsidRDefault="00DE6372" w:rsidP="00DE6372">
      <w:pPr>
        <w:pStyle w:val="06Odstavecneslovan"/>
        <w:rPr>
          <w:u w:val="single"/>
        </w:rPr>
      </w:pPr>
      <w:r w:rsidRPr="00DE6372">
        <w:rPr>
          <w:u w:val="single"/>
        </w:rPr>
        <w:t>Ostatní podmínky:</w:t>
      </w:r>
    </w:p>
    <w:p w14:paraId="27205F90" w14:textId="77777777" w:rsidR="00F777C5" w:rsidRDefault="00F777C5" w:rsidP="00F777C5">
      <w:pPr>
        <w:pStyle w:val="06Odstavecneslovan"/>
      </w:pPr>
      <w:r>
        <w:t>Záruční lhůta 24 měsíců.</w:t>
      </w:r>
    </w:p>
    <w:p w14:paraId="1267D77D" w14:textId="77777777" w:rsidR="00F777C5" w:rsidRDefault="00F777C5" w:rsidP="00F777C5">
      <w:pPr>
        <w:pStyle w:val="06Odstavecneslovan"/>
      </w:pPr>
      <w:r>
        <w:t>Předložení referenčního vzorku pro posouzení shody se zadáním.</w:t>
      </w:r>
    </w:p>
    <w:p w14:paraId="2935D85A" w14:textId="77777777" w:rsidR="00F777C5" w:rsidRDefault="00F777C5" w:rsidP="00F777C5">
      <w:pPr>
        <w:pStyle w:val="06Odstavecneslovan"/>
      </w:pPr>
      <w:r>
        <w:t>Záruční servis a placený pozáruční servis po dobu 5 let od data pořízení.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7F8F69F3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2F5F10B5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90917A2" w:rsidR="009357AD" w:rsidRDefault="00855F75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C0EB" w14:textId="77777777" w:rsidR="0036138F" w:rsidRDefault="0036138F" w:rsidP="00F237E9">
      <w:pPr>
        <w:spacing w:after="0" w:line="240" w:lineRule="auto"/>
      </w:pPr>
      <w:r>
        <w:separator/>
      </w:r>
    </w:p>
  </w:endnote>
  <w:endnote w:type="continuationSeparator" w:id="0">
    <w:p w14:paraId="58841795" w14:textId="77777777" w:rsidR="0036138F" w:rsidRDefault="0036138F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36F9" w14:textId="77777777" w:rsidR="0036138F" w:rsidRDefault="0036138F" w:rsidP="00F237E9">
      <w:pPr>
        <w:spacing w:after="0" w:line="240" w:lineRule="auto"/>
      </w:pPr>
      <w:r>
        <w:separator/>
      </w:r>
    </w:p>
  </w:footnote>
  <w:footnote w:type="continuationSeparator" w:id="0">
    <w:p w14:paraId="1548DD2C" w14:textId="77777777" w:rsidR="0036138F" w:rsidRDefault="0036138F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3A150A35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>Batohy pro výjezdové skupiny ZZS SK – část A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1472B85A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  <w:u w:val="single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56232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173E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41CE5"/>
    <w:rsid w:val="002545B7"/>
    <w:rsid w:val="002545CF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302CFE"/>
    <w:rsid w:val="00335EAD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62279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27D8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269F3"/>
    <w:rsid w:val="00A304C3"/>
    <w:rsid w:val="00A348CB"/>
    <w:rsid w:val="00A44457"/>
    <w:rsid w:val="00A508C0"/>
    <w:rsid w:val="00A75EB4"/>
    <w:rsid w:val="00A762DE"/>
    <w:rsid w:val="00A94C2D"/>
    <w:rsid w:val="00AB2BEF"/>
    <w:rsid w:val="00AB3428"/>
    <w:rsid w:val="00AC0219"/>
    <w:rsid w:val="00AC3D8D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5E27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DE6372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64F4"/>
    <w:rsid w:val="00E77177"/>
    <w:rsid w:val="00E80291"/>
    <w:rsid w:val="00E911DF"/>
    <w:rsid w:val="00E9552F"/>
    <w:rsid w:val="00EA6C55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777C5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777C5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1119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88</cp:revision>
  <dcterms:created xsi:type="dcterms:W3CDTF">2024-01-29T17:45:00Z</dcterms:created>
  <dcterms:modified xsi:type="dcterms:W3CDTF">2025-06-06T15:31:00Z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